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TScan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Lynx1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20,519,148.00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20,519,148.00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20,519,148.00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Weston Nichols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20,519,148.00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20,519,148.00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20,519,148.00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TScan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830 Winter Street, Waltham, Massachusetts 02451</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Lynx1 Capital Management LP (the "Investment Manager"), a Delaware limited partnership, and the investment manager to Lynx1 Master Fund LP (the "Lynx1 Fund"), with respect to the shares of voting common stock, par value $0.0001 per share ("Voting Common Stock") of TScan Therapeutics, Inc., a Delaware corporation (the "Company") directly held by the Lynx1 Fund; and (ii) Mr. Weston Nichols ("Mr. Nichols"), the sole member of Lynx1 Capital Management GP LLC, the general partner of the Investment Manager, with respect to the shares of Voting Common Stock directly held by the Lynx1 Fund.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Lynx1 Capital Management LP D81 Calle C Suite 301, PMB 1202 Dorado, PR, 00646-2051 Weston Nichols c/o Lynx1 Capital Management LP D81 Calle C Suite 301, PMB 1202 Dorado, PR, 00646-2051</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Investment Manager - Delaware Mr. Nichols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61,074,229 shares of Voting Common Stock outstanding as of May 1, 2026, as reported in the Company's Quarterly Report on Form 10-Q for the quarterly period ended March 31, 2026 filed with the Securities and Exchange Commission on May 6,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13.1  %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Lynx1 Fund has the right to receive or the power to direct the receipt of dividends from, or the proceeds from the sale of, the shares of Voting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Lynx1 Capital Management LP</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Weston Nichols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Lynx1 Capital Management GP LLC, General Partner, By: Weston Nichols, 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Weston Nichols</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Weston Nichols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Weston Nichols,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1356</Words>
  <Characters>6894</Characters>
  <CharactersWithSpaces>8220</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